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240" w:afterAutospacing="0" w:line="5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pStyle w:val="2"/>
        <w:widowControl/>
        <w:spacing w:beforeAutospacing="0" w:after="240" w:afterAutospacing="0" w:line="500" w:lineRule="exact"/>
        <w:jc w:val="center"/>
        <w:rPr>
          <w:rStyle w:val="5"/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天府照明-金熊猫奖</w:t>
      </w:r>
      <w:r>
        <w:rPr>
          <w:rStyle w:val="5"/>
          <w:rFonts w:hint="eastAsia" w:ascii="黑体" w:hAnsi="黑体" w:eastAsia="黑体" w:cs="黑体"/>
          <w:sz w:val="40"/>
          <w:szCs w:val="40"/>
        </w:rPr>
        <w:t>评审办法</w:t>
      </w:r>
    </w:p>
    <w:p>
      <w:pPr>
        <w:pStyle w:val="2"/>
        <w:widowControl/>
        <w:spacing w:beforeAutospacing="0" w:after="240" w:afterAutospacing="0" w:line="500" w:lineRule="exact"/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为进一步完善</w:t>
      </w:r>
      <w:r>
        <w:rPr>
          <w:rFonts w:hint="eastAsia" w:ascii="宋体" w:hAnsi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天府照明-金熊猫奖”评选工作，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推动四川省照明产业的高质量发展和科技进步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，调动广大照明企业和照明科技工作者的积极性、创造性，制定本办法。</w:t>
      </w:r>
    </w:p>
    <w:p>
      <w:pPr>
        <w:pStyle w:val="2"/>
        <w:widowControl/>
        <w:spacing w:beforeAutospacing="0" w:after="240" w:afterAutospacing="0" w:line="500" w:lineRule="exact"/>
        <w:ind w:firstLine="594" w:firstLineChars="200"/>
        <w:jc w:val="left"/>
        <w:rPr>
          <w:rFonts w:hint="eastAsia" w:ascii="黑体" w:hAnsi="黑体" w:eastAsia="黑体" w:cs="黑体"/>
          <w:b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333333"/>
          <w:spacing w:val="8"/>
          <w:sz w:val="30"/>
          <w:szCs w:val="30"/>
          <w:shd w:val="clear" w:color="auto" w:fill="FFFFFF"/>
        </w:rPr>
        <w:t>组织结构</w:t>
      </w:r>
    </w:p>
    <w:p>
      <w:pPr>
        <w:pStyle w:val="2"/>
        <w:widowControl/>
        <w:numPr>
          <w:ilvl w:val="0"/>
          <w:numId w:val="0"/>
        </w:numPr>
        <w:spacing w:beforeAutospacing="0" w:after="240" w:afterAutospacing="0" w:line="500" w:lineRule="exact"/>
        <w:ind w:firstLine="592" w:firstLineChars="200"/>
        <w:jc w:val="left"/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为确保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”评选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公平、公正、</w:t>
      </w:r>
      <w:r>
        <w:rPr>
          <w:rFonts w:hint="eastAsia"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</w:rPr>
        <w:t>公开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，四川省照明电器协会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四川省电气照明学会共同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成立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”评审组织委员会（以下简称组委会）和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”评审专家委员会（以下简称评委会）。</w:t>
      </w:r>
    </w:p>
    <w:p>
      <w:pPr>
        <w:pStyle w:val="2"/>
        <w:widowControl/>
        <w:numPr>
          <w:ilvl w:val="0"/>
          <w:numId w:val="0"/>
        </w:numPr>
        <w:spacing w:beforeAutospacing="0" w:after="240" w:afterAutospacing="0" w:line="500" w:lineRule="exact"/>
        <w:ind w:firstLine="592" w:firstLineChars="200"/>
        <w:jc w:val="left"/>
        <w:rPr>
          <w:rFonts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组委会：组</w:t>
      </w:r>
      <w:r>
        <w:rPr>
          <w:rFonts w:hint="eastAsia"/>
          <w:sz w:val="28"/>
        </w:rPr>
        <w:t>委会由四川省照明电器协会</w:t>
      </w:r>
      <w:r>
        <w:rPr>
          <w:rFonts w:hint="eastAsia"/>
          <w:sz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四川省电气照明学会</w:t>
      </w:r>
      <w:r>
        <w:rPr>
          <w:rFonts w:hint="eastAsia"/>
          <w:sz w:val="28"/>
        </w:rPr>
        <w:t>相关人员组成，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具体负责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的组织、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申报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受理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、资格审查、奖项评选、颁奖等相关组织工作。</w:t>
      </w:r>
    </w:p>
    <w:p>
      <w:pPr>
        <w:widowControl/>
        <w:spacing w:line="500" w:lineRule="exact"/>
        <w:ind w:firstLine="592" w:firstLineChars="200"/>
        <w:jc w:val="left"/>
        <w:rPr>
          <w:rFonts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评委会：评</w:t>
      </w:r>
      <w:r>
        <w:rPr>
          <w:rFonts w:hint="eastAsia"/>
          <w:sz w:val="28"/>
        </w:rPr>
        <w:t>委会</w:t>
      </w:r>
      <w:r>
        <w:rPr>
          <w:rFonts w:hint="eastAsia"/>
          <w:sz w:val="28"/>
          <w:lang w:val="en-US" w:eastAsia="zh-CN"/>
        </w:rPr>
        <w:t>人员</w:t>
      </w:r>
      <w:r>
        <w:rPr>
          <w:rFonts w:hint="eastAsia"/>
          <w:sz w:val="28"/>
        </w:rPr>
        <w:t>由四川省照明电器协会</w:t>
      </w:r>
      <w:r>
        <w:rPr>
          <w:rFonts w:hint="eastAsia"/>
          <w:sz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四川省电气照明学会</w:t>
      </w:r>
      <w:r>
        <w:rPr>
          <w:rFonts w:hint="eastAsia" w:ascii="宋体" w:hAnsi="宋体" w:eastAsia="宋体"/>
          <w:sz w:val="28"/>
          <w:szCs w:val="28"/>
        </w:rPr>
        <w:t>联合</w:t>
      </w:r>
      <w:r>
        <w:rPr>
          <w:rFonts w:hint="eastAsia"/>
          <w:sz w:val="28"/>
        </w:rPr>
        <w:t>邀请</w:t>
      </w:r>
      <w:r>
        <w:rPr>
          <w:rFonts w:hint="eastAsia"/>
          <w:sz w:val="28"/>
          <w:lang w:eastAsia="zh-CN"/>
        </w:rPr>
        <w:t>行业内具</w:t>
      </w:r>
      <w:r>
        <w:rPr>
          <w:rFonts w:hint="eastAsia"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</w:rPr>
        <w:t>有影响力的</w:t>
      </w:r>
      <w:r>
        <w:rPr>
          <w:rFonts w:hint="eastAsia"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  <w:lang w:val="en-US" w:eastAsia="zh-CN"/>
        </w:rPr>
        <w:t>照明</w:t>
      </w:r>
      <w:r>
        <w:rPr>
          <w:rFonts w:hint="eastAsia"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</w:rPr>
        <w:t>专家</w:t>
      </w:r>
      <w:r>
        <w:rPr>
          <w:rFonts w:hint="eastAsia"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  <w:lang w:val="en-US" w:eastAsia="zh-CN"/>
        </w:rPr>
        <w:t>组成</w:t>
      </w:r>
      <w:r>
        <w:rPr>
          <w:rFonts w:hint="eastAsia"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承担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评审、复审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及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终审工作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eastAsia="zh-CN" w:bidi="ar"/>
        </w:rPr>
        <w:t>。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>
      <w:pPr>
        <w:pStyle w:val="6"/>
        <w:spacing w:line="500" w:lineRule="exact"/>
        <w:ind w:firstLine="602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二、奖项设置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1、道路照明奖；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2、室内照明奖；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3、夜景照明奖；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包括以下分类：</w:t>
      </w:r>
      <w:r>
        <w:rPr>
          <w:rFonts w:hint="eastAsia" w:ascii="宋体" w:hAnsi="宋体" w:cs="宋体"/>
          <w:sz w:val="28"/>
          <w:szCs w:val="28"/>
        </w:rPr>
        <w:t>a.公园、广场类；b.路桥类；c.单体类；d.城市街区类；e.文旅类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4、创新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产品</w:t>
      </w:r>
      <w:r>
        <w:rPr>
          <w:rFonts w:hint="eastAsia" w:ascii="宋体" w:hAnsi="宋体" w:cs="宋体"/>
          <w:sz w:val="28"/>
          <w:szCs w:val="28"/>
        </w:rPr>
        <w:t>奖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5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三、奖项等级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按奖项类别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分别</w:t>
      </w:r>
      <w:r>
        <w:rPr>
          <w:rFonts w:ascii="宋体" w:hAnsi="宋体" w:cs="宋体"/>
          <w:sz w:val="28"/>
          <w:szCs w:val="28"/>
        </w:rPr>
        <w:t>设置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一、二、三等奖</w:t>
      </w:r>
    </w:p>
    <w:p>
      <w:pPr>
        <w:spacing w:line="5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四、申报条件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单位资质：申报单位须为具有独立法人资格的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照明领域的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设计公司，工程公司、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产品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生产企业；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申报单位拥有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项目或</w:t>
      </w:r>
      <w:r>
        <w:rPr>
          <w:rFonts w:asciiTheme="majorEastAsia" w:hAnsiTheme="majorEastAsia" w:eastAsiaTheme="majorEastAsia" w:cstheme="majorEastAsia"/>
          <w:sz w:val="28"/>
          <w:szCs w:val="28"/>
        </w:rPr>
        <w:t>产品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无争议的知识产权，并</w:t>
      </w:r>
      <w:r>
        <w:rPr>
          <w:rFonts w:asciiTheme="majorEastAsia" w:hAnsiTheme="majorEastAsia" w:eastAsiaTheme="majorEastAsia" w:cstheme="majorEastAsia"/>
          <w:sz w:val="28"/>
          <w:szCs w:val="28"/>
        </w:rPr>
        <w:t>须确保所提交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材料</w:t>
      </w:r>
      <w:r>
        <w:rPr>
          <w:rFonts w:asciiTheme="majorEastAsia" w:hAnsiTheme="majorEastAsia" w:eastAsiaTheme="majorEastAsia" w:cstheme="majorEastAsia"/>
          <w:sz w:val="28"/>
          <w:szCs w:val="28"/>
        </w:rPr>
        <w:t>真实性，并得到项目相关各方的参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</w:t>
      </w:r>
      <w:r>
        <w:rPr>
          <w:rFonts w:asciiTheme="majorEastAsia" w:hAnsiTheme="majorEastAsia" w:eastAsiaTheme="majorEastAsia" w:cstheme="majorEastAsia"/>
          <w:sz w:val="28"/>
          <w:szCs w:val="28"/>
        </w:rPr>
        <w:t>许可，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若</w:t>
      </w:r>
      <w:r>
        <w:rPr>
          <w:rFonts w:asciiTheme="majorEastAsia" w:hAnsiTheme="majorEastAsia" w:eastAsiaTheme="majorEastAsia" w:cstheme="majorEastAsia"/>
          <w:sz w:val="28"/>
          <w:szCs w:val="28"/>
        </w:rPr>
        <w:t>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评项目</w:t>
      </w:r>
      <w:r>
        <w:rPr>
          <w:rFonts w:asciiTheme="majorEastAsia" w:hAnsiTheme="majorEastAsia" w:eastAsiaTheme="majorEastAsia" w:cstheme="majorEastAsia"/>
          <w:sz w:val="28"/>
          <w:szCs w:val="28"/>
        </w:rPr>
        <w:t>或产品公布后影响到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第三方</w:t>
      </w:r>
      <w:r>
        <w:rPr>
          <w:rFonts w:asciiTheme="majorEastAsia" w:hAnsiTheme="majorEastAsia" w:eastAsiaTheme="majorEastAsia" w:cstheme="majorEastAsia"/>
          <w:sz w:val="28"/>
          <w:szCs w:val="28"/>
        </w:rPr>
        <w:t>的利益，责任由申报方承担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</w:t>
      </w:r>
      <w:r>
        <w:rPr>
          <w:rFonts w:asciiTheme="majorEastAsia" w:hAnsiTheme="majorEastAsia" w:eastAsiaTheme="majorEastAsia" w:cstheme="majorEastAsia"/>
          <w:sz w:val="28"/>
          <w:szCs w:val="28"/>
        </w:rPr>
        <w:t>组委会核实确认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后有权取消其参评资格或</w:t>
      </w:r>
      <w:r>
        <w:rPr>
          <w:rFonts w:asciiTheme="majorEastAsia" w:hAnsiTheme="majorEastAsia" w:eastAsiaTheme="majorEastAsia" w:cstheme="majorEastAsia"/>
          <w:sz w:val="28"/>
          <w:szCs w:val="28"/>
        </w:rPr>
        <w:t>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回所颁奖项奖杯和证书；</w:t>
      </w:r>
    </w:p>
    <w:p>
      <w:pPr>
        <w:numPr>
          <w:ilvl w:val="0"/>
          <w:numId w:val="1"/>
        </w:numPr>
        <w:spacing w:line="500" w:lineRule="exact"/>
        <w:ind w:firstLine="59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申报的</w:t>
      </w:r>
      <w:r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工程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项目应在照明建设施工中取得重大的、创新性的成果和贡献，并有显著应用成效。必须是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2019年以后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设计、施工、竣工完成并验收合格的项目，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向组委会提供项目合同扫描件和竣工验收报告扫描件；</w:t>
      </w:r>
    </w:p>
    <w:p>
      <w:pPr>
        <w:numPr>
          <w:ilvl w:val="0"/>
          <w:numId w:val="1"/>
        </w:numPr>
        <w:spacing w:line="500" w:lineRule="exact"/>
        <w:ind w:firstLine="59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申报的照明产品应是照明领域内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新技术(照明器材、控制设备的新技术应用)、新产品(光源、灯具、电器附件、控制设备产品)及软件方面的创新成果，并具有成功的应用案例。产品应</w:t>
      </w:r>
      <w:r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通过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国家检测并符合国家现行产品标准；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地域条件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：工程项目必须是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四川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地区企业承担或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四川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地区以外企业在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川行政区域内完成的照明工程项目。</w:t>
      </w:r>
      <w:r>
        <w:rPr>
          <w:rFonts w:asciiTheme="majorEastAsia" w:hAnsiTheme="majorEastAsia" w:eastAsiaTheme="majorEastAsia" w:cstheme="majorEastAsia"/>
          <w:sz w:val="28"/>
          <w:szCs w:val="28"/>
        </w:rPr>
        <w:t>照明产品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必须是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川企业研发制造或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四川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地区以外企业研发制造应用于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川行政区域的照明工程项目的产品；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6、项目体量：申报项目不受规模和体量限制，可以是整体项目也可以是整体项目中独立的部分进行申报；</w:t>
      </w:r>
    </w:p>
    <w:p>
      <w:pPr>
        <w:spacing w:line="50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7、申报方式：奖项可单一单位申报，也可多单位联合申报，多单位联合申报需明确牵头申报单位；多家单位联合申报的牵头申报单位须满足第5条要求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每一独立项目只能申报一类奖项；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8、</w:t>
      </w:r>
      <w:r>
        <w:rPr>
          <w:rFonts w:asciiTheme="majorEastAsia" w:hAnsiTheme="majorEastAsia" w:eastAsiaTheme="majorEastAsia" w:cstheme="majorEastAsia"/>
          <w:sz w:val="28"/>
          <w:szCs w:val="28"/>
        </w:rPr>
        <w:t>申报提交的资料版权由组委会与申报单位共同所有，组委会有权对所有申报单位提交的资料不限次数地将其参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</w:t>
      </w:r>
      <w:r>
        <w:rPr>
          <w:rFonts w:asciiTheme="majorEastAsia" w:hAnsiTheme="majorEastAsia" w:eastAsiaTheme="majorEastAsia" w:cstheme="majorEastAsia"/>
          <w:sz w:val="28"/>
          <w:szCs w:val="28"/>
        </w:rPr>
        <w:t>项目的图片及文字以任何方式应用于网站、印刷物、宣传用广告物等与本活动相关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的用途，并不再另行支付报酬。</w:t>
      </w:r>
    </w:p>
    <w:p>
      <w:pPr>
        <w:spacing w:line="5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五、申报方法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00" w:lineRule="exact"/>
        <w:ind w:firstLine="592" w:firstLineChars="200"/>
        <w:textAlignment w:val="auto"/>
        <w:outlineLvl w:val="9"/>
        <w:rPr>
          <w:rFonts w:hint="default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奖项的申报秉持自愿原则，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申报单位应</w:t>
      </w:r>
      <w:r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按要求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向</w:t>
      </w:r>
      <w:r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组委会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提供一式两份完整纸质资料（加盖公章）及一份电子版资料，并承诺申报材料中所涉及的文件、证件及有关附件均真实有效且不涉密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如有弄虚作假或剽窃他人成果，后果由申报单位自行承担。</w:t>
      </w:r>
    </w:p>
    <w:p>
      <w:pPr>
        <w:pStyle w:val="2"/>
        <w:widowControl/>
        <w:numPr>
          <w:ilvl w:val="0"/>
          <w:numId w:val="2"/>
        </w:numPr>
        <w:spacing w:beforeAutospacing="0" w:after="120" w:afterAutospacing="0" w:line="360" w:lineRule="exact"/>
        <w:ind w:firstLine="634" w:firstLineChars="200"/>
        <w:rPr>
          <w:rFonts w:hint="default" w:ascii="黑体" w:hAnsi="黑体" w:cs="黑体" w:eastAsiaTheme="majorEastAsia"/>
          <w:b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sz w:val="30"/>
          <w:szCs w:val="30"/>
          <w:shd w:val="clear" w:color="auto" w:fill="FFFFFF"/>
        </w:rPr>
        <w:t>评审流程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00" w:lineRule="exact"/>
        <w:ind w:firstLine="592" w:firstLineChars="200"/>
        <w:textAlignment w:val="auto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每两年评审一次。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评审流程按照资格审查、初审，复审、终审、公示5个阶段进行。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1、资格审查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组委会对申报项目逐项了解并审议；对所有申报项目按标准予以筛选，不符合标准的申报项目视为不通过，不得参与评审； </w:t>
      </w:r>
    </w:p>
    <w:p>
      <w:pPr>
        <w:ind w:firstLine="560" w:firstLineChars="200"/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2、初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审</w:t>
      </w:r>
    </w:p>
    <w:p>
      <w:pPr>
        <w:spacing w:line="500" w:lineRule="exact"/>
        <w:ind w:firstLine="592" w:firstLineChars="200"/>
        <w:rPr>
          <w:sz w:val="2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由评委会委员</w:t>
      </w:r>
      <w:r>
        <w:rPr>
          <w:rFonts w:hint="eastAsia"/>
          <w:sz w:val="28"/>
        </w:rPr>
        <w:t>按评分标准进行集中评议独立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打分，</w:t>
      </w:r>
      <w:r>
        <w:rPr>
          <w:rFonts w:hint="eastAsia"/>
          <w:sz w:val="28"/>
        </w:rPr>
        <w:t xml:space="preserve">根据评分结果，决定入围项目和获等级奖项目的分数段；  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3、复审</w:t>
      </w:r>
    </w:p>
    <w:p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 评委会根据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初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审</w:t>
      </w:r>
      <w:r>
        <w:rPr>
          <w:rFonts w:hint="eastAsia"/>
          <w:sz w:val="28"/>
        </w:rPr>
        <w:t>评分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结果</w:t>
      </w:r>
      <w:r>
        <w:rPr>
          <w:rFonts w:hint="eastAsia"/>
          <w:sz w:val="28"/>
        </w:rPr>
        <w:t>推荐出一、二、三等奖；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终审</w:t>
      </w:r>
    </w:p>
    <w:p>
      <w:pPr>
        <w:spacing w:line="500" w:lineRule="exact"/>
        <w:ind w:firstLine="560" w:firstLineChars="20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评审结果由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</w:t>
      </w:r>
      <w:r>
        <w:rPr>
          <w:rFonts w:hint="eastAsia"/>
          <w:sz w:val="28"/>
        </w:rPr>
        <w:t>评委会终审决定，对推荐为一等奖的项目，原则上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由</w:t>
      </w:r>
      <w:r>
        <w:rPr>
          <w:rFonts w:hint="eastAsia"/>
          <w:sz w:val="28"/>
        </w:rPr>
        <w:t>评委会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根据项目组织5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～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11名专家</w:t>
      </w:r>
      <w:r>
        <w:rPr>
          <w:rFonts w:hint="eastAsia"/>
          <w:sz w:val="28"/>
        </w:rPr>
        <w:t>进行实地考察</w:t>
      </w:r>
      <w:r>
        <w:rPr>
          <w:rFonts w:hint="eastAsia"/>
          <w:sz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8"/>
          <w:szCs w:val="28"/>
          <w:shd w:val="clear" w:color="auto" w:fill="FFFFFF"/>
          <w:lang w:bidi="ar"/>
        </w:rPr>
        <w:t>现场评审</w:t>
      </w:r>
      <w:r>
        <w:rPr>
          <w:rFonts w:hint="eastAsia"/>
          <w:sz w:val="28"/>
        </w:rPr>
        <w:t>并提出实地考察评价意见</w:t>
      </w:r>
      <w:r>
        <w:rPr>
          <w:rFonts w:hint="eastAsia"/>
          <w:sz w:val="28"/>
          <w:lang w:eastAsia="zh-CN"/>
        </w:rPr>
        <w:t>；</w:t>
      </w:r>
    </w:p>
    <w:p>
      <w:pPr>
        <w:spacing w:line="500" w:lineRule="exact"/>
        <w:ind w:firstLine="592" w:firstLineChars="200"/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5、公示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评审结果通过组织单位网站及微信公众号向社会公示15天。</w:t>
      </w:r>
    </w:p>
    <w:p>
      <w:pPr>
        <w:spacing w:line="500" w:lineRule="exact"/>
        <w:ind w:firstLine="602" w:firstLineChars="200"/>
        <w:rPr>
          <w:rFonts w:ascii="宋体" w:hAnsi="宋体"/>
          <w:bCs/>
          <w:sz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七、评审标准</w:t>
      </w:r>
      <w:r>
        <w:rPr>
          <w:rFonts w:hint="eastAsia" w:ascii="宋体" w:hAnsi="宋体"/>
          <w:bCs/>
          <w:sz w:val="28"/>
        </w:rPr>
        <w:t>（详见附件）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秉持</w:t>
      </w:r>
      <w:r>
        <w:rPr>
          <w:rFonts w:hint="eastAsia" w:asciiTheme="majorEastAsia" w:hAnsiTheme="majorEastAsia" w:eastAsiaTheme="majorEastAsia" w:cstheme="majorEastAsia"/>
          <w:color w:val="191919"/>
          <w:sz w:val="28"/>
          <w:szCs w:val="28"/>
          <w:shd w:val="clear" w:color="auto" w:fill="FFFFFF"/>
        </w:rPr>
        <w:t>实事求是、优中选优的原则，对申报项目的资料完整性、规模及影响力、设计创意与创新、技术合理性、节能措施和安全环保措施展开全面评比，评选出在照明工程、产品技术领域最具代表性和科技性的项目。</w:t>
      </w:r>
    </w:p>
    <w:p>
      <w:pPr>
        <w:spacing w:line="500" w:lineRule="exact"/>
        <w:ind w:firstLine="602" w:firstLineChars="200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八、异议处理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1、在公示期内，若有异议需在此期间向组委会提出书面意见和理由，并附相关证明材料，过期视为无异议，不再予以受理；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2、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组委会负责对</w:t>
      </w:r>
      <w:r>
        <w:rPr>
          <w:rFonts w:hint="eastAsia"/>
          <w:sz w:val="28"/>
        </w:rPr>
        <w:t>异议项目进行协调解决，组织相关专家调查处理异议，形成意见后报评委会审定，并由组委会将审查结果及时通知异议方；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3、在指定日期内，异议项目如未能处理落实的，取消当年评奖资格，待异议处理完毕后于下一</w:t>
      </w:r>
      <w:r>
        <w:rPr>
          <w:rFonts w:hint="eastAsia"/>
          <w:sz w:val="28"/>
          <w:lang w:val="en-US" w:eastAsia="zh-CN"/>
        </w:rPr>
        <w:t>届</w:t>
      </w:r>
      <w:r>
        <w:rPr>
          <w:rFonts w:hint="eastAsia"/>
          <w:sz w:val="28"/>
        </w:rPr>
        <w:t>可以重新申报。</w:t>
      </w:r>
    </w:p>
    <w:p>
      <w:pPr>
        <w:spacing w:line="5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九、表彰及推广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1、评选结果在颁奖典礼上公布，所有获奖项目、产品都将获得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主办单位颁发的奖杯和证书；</w:t>
      </w:r>
    </w:p>
    <w:p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2、在全部评审工作结束后，以刊物制作、论坛宣讲形式对获奖项目、产品进行推广和宣传。</w:t>
      </w:r>
      <w:bookmarkStart w:id="0" w:name="_GoBack"/>
      <w:bookmarkEnd w:id="0"/>
    </w:p>
    <w:p>
      <w:pPr>
        <w:spacing w:line="5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十、解释权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上述评审办法的最终解释权归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sz w:val="28"/>
          <w:szCs w:val="28"/>
          <w:shd w:val="clear" w:color="auto" w:fill="FFFFFF"/>
        </w:rPr>
        <w:t>”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组委会所有。</w:t>
      </w:r>
    </w:p>
    <w:p/>
    <w:p/>
    <w:p>
      <w:pPr>
        <w:ind w:firstLine="3920" w:firstLineChars="1400"/>
      </w:pPr>
      <w:r>
        <w:rPr>
          <w:rFonts w:hint="eastAsia"/>
          <w:sz w:val="28"/>
          <w:szCs w:val="28"/>
          <w:lang w:val="en-US" w:eastAsia="zh-CN"/>
        </w:rPr>
        <w:t>天府照明-金熊猫奖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组委会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32C05"/>
    <w:multiLevelType w:val="singleLevel"/>
    <w:tmpl w:val="82732C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F7F3A3"/>
    <w:multiLevelType w:val="singleLevel"/>
    <w:tmpl w:val="D6F7F3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E05075"/>
    <w:multiLevelType w:val="singleLevel"/>
    <w:tmpl w:val="58E0507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Dg5YWJmZjdkMDBlZDQ4M2EyYjg2NDEwZTAyZWEifQ=="/>
  </w:docVars>
  <w:rsids>
    <w:rsidRoot w:val="2CCF4E17"/>
    <w:rsid w:val="006E0727"/>
    <w:rsid w:val="032E76A9"/>
    <w:rsid w:val="2CCF4E17"/>
    <w:rsid w:val="30A9205A"/>
    <w:rsid w:val="33B51A84"/>
    <w:rsid w:val="4A5F69EA"/>
    <w:rsid w:val="4B113F95"/>
    <w:rsid w:val="4B1B6709"/>
    <w:rsid w:val="4D936152"/>
    <w:rsid w:val="5C6C6DDC"/>
    <w:rsid w:val="5CAA41C2"/>
    <w:rsid w:val="5D35396B"/>
    <w:rsid w:val="5E082289"/>
    <w:rsid w:val="677E1BB2"/>
    <w:rsid w:val="792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1978</Words>
  <Characters>1988</Characters>
  <Lines>0</Lines>
  <Paragraphs>0</Paragraphs>
  <TotalTime>28</TotalTime>
  <ScaleCrop>false</ScaleCrop>
  <LinksUpToDate>false</LinksUpToDate>
  <CharactersWithSpaces>1997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2022-04-18T05:53:00Z</dcterms:created>
  <dc:creator>工程师</dc:creator>
  <cp:lastModifiedBy>工程师</cp:lastModifiedBy>
  <dcterms:modified xsi:type="dcterms:W3CDTF">2022-06-29T06:56:41Z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D818DEE99F14455EA64DF83E0F2F4C88</vt:lpwstr>
  </property>
  <property fmtid="{D5CDD505-2E9C-101B-9397-08002B2CF9AE}" pid="4" name="commondata">
    <vt:lpwstr>eyJoZGlkIjoiNzAxODEwZjc5ZWYwZDg0ZWM0NmY3MjA5YWE5MzJjNGIifQ==</vt:lpwstr>
  </property>
</Properties>
</file>